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1DF044" w14:textId="77777777" w:rsidR="00D432D9" w:rsidRDefault="00D67FDA">
      <w:pPr>
        <w:spacing w:after="40"/>
        <w:jc w:val="center"/>
      </w:pPr>
      <w:r>
        <w:rPr>
          <w:b/>
          <w:color w:val="1F4E79"/>
          <w:sz w:val="34"/>
        </w:rPr>
        <w:t>SCIENTIFIC CURRICULUM VITAE</w:t>
      </w:r>
    </w:p>
    <w:p w14:paraId="2B97136E" w14:textId="77777777" w:rsidR="00D432D9" w:rsidRDefault="00D67FDA">
      <w:pPr>
        <w:spacing w:after="120"/>
        <w:jc w:val="center"/>
      </w:pPr>
      <w:r>
        <w:rPr>
          <w:b/>
          <w:sz w:val="28"/>
        </w:rPr>
        <w:t>Iveta Bernátová, PhD, DSc.</w:t>
      </w:r>
    </w:p>
    <w:tbl>
      <w:tblPr>
        <w:tblW w:w="0" w:type="auto"/>
        <w:jc w:val="center"/>
        <w:tblLayout w:type="fixed"/>
        <w:tblLook w:val="04A0" w:firstRow="1" w:lastRow="0" w:firstColumn="1" w:lastColumn="0" w:noHBand="0" w:noVBand="1"/>
      </w:tblPr>
      <w:tblGrid>
        <w:gridCol w:w="5184"/>
        <w:gridCol w:w="5184"/>
      </w:tblGrid>
      <w:tr w:rsidR="00D432D9" w14:paraId="60D36E78" w14:textId="77777777">
        <w:trPr>
          <w:jc w:val="center"/>
        </w:trPr>
        <w:tc>
          <w:tcPr>
            <w:tcW w:w="5184" w:type="dxa"/>
            <w:tcBorders>
              <w:top w:val="single" w:sz="2" w:space="0" w:color="D9E2F3"/>
              <w:left w:val="nil"/>
              <w:bottom w:val="single" w:sz="2" w:space="0" w:color="D9E2F3"/>
              <w:right w:val="nil"/>
            </w:tcBorders>
            <w:shd w:val="clear" w:color="auto" w:fill="F2F6FC"/>
          </w:tcPr>
          <w:p w14:paraId="5DD13BAD" w14:textId="77777777" w:rsidR="00D432D9" w:rsidRDefault="00D67FDA">
            <w:pPr>
              <w:spacing w:after="0"/>
            </w:pPr>
            <w:r>
              <w:rPr>
                <w:b/>
              </w:rPr>
              <w:t>Work address</w:t>
            </w:r>
          </w:p>
        </w:tc>
        <w:tc>
          <w:tcPr>
            <w:tcW w:w="5184" w:type="dxa"/>
            <w:tcBorders>
              <w:top w:val="single" w:sz="2" w:space="0" w:color="D9E2F3"/>
              <w:left w:val="nil"/>
              <w:bottom w:val="single" w:sz="2" w:space="0" w:color="D9E2F3"/>
              <w:right w:val="nil"/>
            </w:tcBorders>
          </w:tcPr>
          <w:p w14:paraId="3EEB3816" w14:textId="77777777" w:rsidR="00D432D9" w:rsidRDefault="00D67FDA">
            <w:pPr>
              <w:spacing w:after="0"/>
            </w:pPr>
            <w:r>
              <w:t>Centre of Experimental Medicine, v.v.i., Slovak Academy of Sciences, Dúbravská cesta 9, 841 04 Bratislava, Slovakia</w:t>
            </w:r>
          </w:p>
        </w:tc>
      </w:tr>
      <w:tr w:rsidR="00D432D9" w14:paraId="030FDF32" w14:textId="77777777">
        <w:trPr>
          <w:jc w:val="center"/>
        </w:trPr>
        <w:tc>
          <w:tcPr>
            <w:tcW w:w="5184" w:type="dxa"/>
            <w:tcBorders>
              <w:top w:val="single" w:sz="2" w:space="0" w:color="D9E2F3"/>
              <w:left w:val="nil"/>
              <w:bottom w:val="single" w:sz="2" w:space="0" w:color="D9E2F3"/>
              <w:right w:val="nil"/>
            </w:tcBorders>
            <w:shd w:val="clear" w:color="auto" w:fill="F2F6FC"/>
          </w:tcPr>
          <w:p w14:paraId="2A41E090" w14:textId="77777777" w:rsidR="00D432D9" w:rsidRDefault="00D67FDA">
            <w:pPr>
              <w:spacing w:after="0"/>
            </w:pPr>
            <w:r>
              <w:rPr>
                <w:b/>
              </w:rPr>
              <w:t>Nationality</w:t>
            </w:r>
          </w:p>
        </w:tc>
        <w:tc>
          <w:tcPr>
            <w:tcW w:w="5184" w:type="dxa"/>
            <w:tcBorders>
              <w:top w:val="single" w:sz="2" w:space="0" w:color="D9E2F3"/>
              <w:left w:val="nil"/>
              <w:bottom w:val="single" w:sz="2" w:space="0" w:color="D9E2F3"/>
              <w:right w:val="nil"/>
            </w:tcBorders>
          </w:tcPr>
          <w:p w14:paraId="3C50CE87" w14:textId="77777777" w:rsidR="00D432D9" w:rsidRDefault="00D67FDA">
            <w:pPr>
              <w:spacing w:after="0"/>
            </w:pPr>
            <w:r>
              <w:t>Slovak</w:t>
            </w:r>
          </w:p>
        </w:tc>
      </w:tr>
      <w:tr w:rsidR="00D432D9" w14:paraId="02C29964" w14:textId="77777777">
        <w:trPr>
          <w:jc w:val="center"/>
        </w:trPr>
        <w:tc>
          <w:tcPr>
            <w:tcW w:w="5184" w:type="dxa"/>
            <w:tcBorders>
              <w:top w:val="single" w:sz="2" w:space="0" w:color="D9E2F3"/>
              <w:left w:val="nil"/>
              <w:bottom w:val="single" w:sz="2" w:space="0" w:color="D9E2F3"/>
              <w:right w:val="nil"/>
            </w:tcBorders>
            <w:shd w:val="clear" w:color="auto" w:fill="F2F6FC"/>
          </w:tcPr>
          <w:p w14:paraId="12F245F4" w14:textId="77777777" w:rsidR="00D432D9" w:rsidRDefault="00D67FDA">
            <w:pPr>
              <w:spacing w:after="0"/>
            </w:pPr>
            <w:r>
              <w:rPr>
                <w:b/>
              </w:rPr>
              <w:t>Researcher IDs</w:t>
            </w:r>
          </w:p>
        </w:tc>
        <w:tc>
          <w:tcPr>
            <w:tcW w:w="5184" w:type="dxa"/>
            <w:tcBorders>
              <w:top w:val="single" w:sz="2" w:space="0" w:color="D9E2F3"/>
              <w:left w:val="nil"/>
              <w:bottom w:val="single" w:sz="2" w:space="0" w:color="D9E2F3"/>
              <w:right w:val="nil"/>
            </w:tcBorders>
          </w:tcPr>
          <w:p w14:paraId="73724B60" w14:textId="77777777" w:rsidR="00D432D9" w:rsidRDefault="00D67FDA">
            <w:pPr>
              <w:spacing w:after="0"/>
            </w:pPr>
            <w:r>
              <w:t>ORCID: 0000-0002-6120-706X | Web of Science ResearcherID: R-4553-2016 | Scopus Author ID: 8506173900</w:t>
            </w:r>
          </w:p>
        </w:tc>
      </w:tr>
      <w:tr w:rsidR="00D432D9" w14:paraId="68C82F70" w14:textId="77777777">
        <w:trPr>
          <w:jc w:val="center"/>
        </w:trPr>
        <w:tc>
          <w:tcPr>
            <w:tcW w:w="5184" w:type="dxa"/>
            <w:tcBorders>
              <w:top w:val="single" w:sz="2" w:space="0" w:color="D9E2F3"/>
              <w:left w:val="nil"/>
              <w:bottom w:val="single" w:sz="2" w:space="0" w:color="D9E2F3"/>
              <w:right w:val="nil"/>
            </w:tcBorders>
            <w:shd w:val="clear" w:color="auto" w:fill="F2F6FC"/>
          </w:tcPr>
          <w:p w14:paraId="7E833A03" w14:textId="77777777" w:rsidR="00D432D9" w:rsidRDefault="00D67FDA">
            <w:pPr>
              <w:spacing w:after="0"/>
            </w:pPr>
            <w:r>
              <w:rPr>
                <w:b/>
              </w:rPr>
              <w:t>Scientific profile</w:t>
            </w:r>
          </w:p>
        </w:tc>
        <w:tc>
          <w:tcPr>
            <w:tcW w:w="5184" w:type="dxa"/>
            <w:tcBorders>
              <w:top w:val="single" w:sz="2" w:space="0" w:color="D9E2F3"/>
              <w:left w:val="nil"/>
              <w:bottom w:val="single" w:sz="2" w:space="0" w:color="D9E2F3"/>
              <w:right w:val="nil"/>
            </w:tcBorders>
          </w:tcPr>
          <w:p w14:paraId="0B557723" w14:textId="77777777" w:rsidR="00D432D9" w:rsidRDefault="00D67FDA">
            <w:pPr>
              <w:spacing w:after="0"/>
            </w:pPr>
            <w:r>
              <w:t>Senior researcher in physiology and biomedicine; Head of the Department of Experimental Hypertension.</w:t>
            </w:r>
          </w:p>
        </w:tc>
      </w:tr>
    </w:tbl>
    <w:p w14:paraId="62D0BE97" w14:textId="77777777" w:rsidR="00D432D9" w:rsidRDefault="00D67FDA">
      <w:pPr>
        <w:pStyle w:val="Nadpis1"/>
        <w:pBdr>
          <w:bottom w:val="single" w:sz="6" w:space="1" w:color="9EADCC"/>
        </w:pBdr>
      </w:pPr>
      <w:r>
        <w:rPr>
          <w:rFonts w:ascii="Calibri" w:eastAsia="Calibri" w:hAnsi="Calibri"/>
          <w:color w:val="1F4E79"/>
        </w:rPr>
        <w:t>ACADEMIC AND SCIENTIFIC POSITIONS</w:t>
      </w:r>
    </w:p>
    <w:tbl>
      <w:tblPr>
        <w:tblW w:w="0" w:type="auto"/>
        <w:jc w:val="center"/>
        <w:tblLayout w:type="fixed"/>
        <w:tblLook w:val="04A0" w:firstRow="1" w:lastRow="0" w:firstColumn="1" w:lastColumn="0" w:noHBand="0" w:noVBand="1"/>
      </w:tblPr>
      <w:tblGrid>
        <w:gridCol w:w="5184"/>
        <w:gridCol w:w="5184"/>
      </w:tblGrid>
      <w:tr w:rsidR="00D432D9" w14:paraId="536927EC" w14:textId="77777777">
        <w:trPr>
          <w:jc w:val="center"/>
        </w:trPr>
        <w:tc>
          <w:tcPr>
            <w:tcW w:w="5184" w:type="dxa"/>
            <w:tcBorders>
              <w:top w:val="nil"/>
              <w:left w:val="nil"/>
              <w:bottom w:val="nil"/>
              <w:right w:val="nil"/>
            </w:tcBorders>
          </w:tcPr>
          <w:p w14:paraId="7D2C9E10" w14:textId="77777777" w:rsidR="00D432D9" w:rsidRDefault="00D67FDA">
            <w:pPr>
              <w:spacing w:after="40"/>
            </w:pPr>
            <w:r>
              <w:rPr>
                <w:b/>
                <w:color w:val="595959"/>
              </w:rPr>
              <w:t>2022-present</w:t>
            </w:r>
          </w:p>
        </w:tc>
        <w:tc>
          <w:tcPr>
            <w:tcW w:w="5184" w:type="dxa"/>
            <w:tcBorders>
              <w:top w:val="nil"/>
              <w:left w:val="nil"/>
              <w:bottom w:val="nil"/>
              <w:right w:val="nil"/>
            </w:tcBorders>
          </w:tcPr>
          <w:p w14:paraId="33B8CBA4" w14:textId="77777777" w:rsidR="00D432D9" w:rsidRDefault="00D67FDA">
            <w:pPr>
              <w:spacing w:after="40"/>
            </w:pPr>
            <w:r>
              <w:t>Member of the Managing Board, Centre of Experimental Medicine, v.v.i., Slovak Academy of Sciences, Bratislava, Slovakia.</w:t>
            </w:r>
          </w:p>
        </w:tc>
      </w:tr>
      <w:tr w:rsidR="00D432D9" w14:paraId="7C3CE585" w14:textId="77777777">
        <w:trPr>
          <w:jc w:val="center"/>
        </w:trPr>
        <w:tc>
          <w:tcPr>
            <w:tcW w:w="5184" w:type="dxa"/>
            <w:tcBorders>
              <w:top w:val="nil"/>
              <w:left w:val="nil"/>
              <w:bottom w:val="nil"/>
              <w:right w:val="nil"/>
            </w:tcBorders>
          </w:tcPr>
          <w:p w14:paraId="042D5E4E" w14:textId="77777777" w:rsidR="00D432D9" w:rsidRDefault="00D67FDA">
            <w:pPr>
              <w:spacing w:after="40"/>
            </w:pPr>
            <w:r>
              <w:rPr>
                <w:b/>
                <w:color w:val="595959"/>
              </w:rPr>
              <w:t>2019-present</w:t>
            </w:r>
          </w:p>
        </w:tc>
        <w:tc>
          <w:tcPr>
            <w:tcW w:w="5184" w:type="dxa"/>
            <w:tcBorders>
              <w:top w:val="nil"/>
              <w:left w:val="nil"/>
              <w:bottom w:val="nil"/>
              <w:right w:val="nil"/>
            </w:tcBorders>
          </w:tcPr>
          <w:p w14:paraId="5B879A72" w14:textId="77777777" w:rsidR="00D432D9" w:rsidRDefault="00D67FDA">
            <w:pPr>
              <w:spacing w:after="40"/>
            </w:pPr>
            <w:r>
              <w:t>Scientific Secretary, Institute of Normal and Pathological Physiology, Centre of Experimental Medicine, v.v.i., Slovak Academy of Sciences, Bratislava, Slovakia.</w:t>
            </w:r>
          </w:p>
        </w:tc>
      </w:tr>
      <w:tr w:rsidR="00D432D9" w14:paraId="43EC254C" w14:textId="77777777">
        <w:trPr>
          <w:jc w:val="center"/>
        </w:trPr>
        <w:tc>
          <w:tcPr>
            <w:tcW w:w="5184" w:type="dxa"/>
            <w:tcBorders>
              <w:top w:val="nil"/>
              <w:left w:val="nil"/>
              <w:bottom w:val="nil"/>
              <w:right w:val="nil"/>
            </w:tcBorders>
          </w:tcPr>
          <w:p w14:paraId="473E24EA" w14:textId="77777777" w:rsidR="00D432D9" w:rsidRDefault="00D67FDA">
            <w:pPr>
              <w:spacing w:after="40"/>
            </w:pPr>
            <w:r>
              <w:rPr>
                <w:b/>
                <w:color w:val="595959"/>
              </w:rPr>
              <w:t>2018-present</w:t>
            </w:r>
          </w:p>
        </w:tc>
        <w:tc>
          <w:tcPr>
            <w:tcW w:w="5184" w:type="dxa"/>
            <w:tcBorders>
              <w:top w:val="nil"/>
              <w:left w:val="nil"/>
              <w:bottom w:val="nil"/>
              <w:right w:val="nil"/>
            </w:tcBorders>
          </w:tcPr>
          <w:p w14:paraId="361AF9C1" w14:textId="77777777" w:rsidR="00D432D9" w:rsidRDefault="00D67FDA">
            <w:pPr>
              <w:spacing w:after="40"/>
            </w:pPr>
            <w:r>
              <w:t>Head, Department of Experimental Hypertension.</w:t>
            </w:r>
          </w:p>
        </w:tc>
      </w:tr>
      <w:tr w:rsidR="00D432D9" w14:paraId="05CE77C5" w14:textId="77777777">
        <w:trPr>
          <w:jc w:val="center"/>
        </w:trPr>
        <w:tc>
          <w:tcPr>
            <w:tcW w:w="5184" w:type="dxa"/>
            <w:tcBorders>
              <w:top w:val="nil"/>
              <w:left w:val="nil"/>
              <w:bottom w:val="nil"/>
              <w:right w:val="nil"/>
            </w:tcBorders>
          </w:tcPr>
          <w:p w14:paraId="555FB9B0" w14:textId="77777777" w:rsidR="00D432D9" w:rsidRDefault="00D67FDA">
            <w:pPr>
              <w:spacing w:after="40"/>
            </w:pPr>
            <w:r>
              <w:rPr>
                <w:b/>
                <w:color w:val="595959"/>
              </w:rPr>
              <w:t>2018-2019</w:t>
            </w:r>
          </w:p>
        </w:tc>
        <w:tc>
          <w:tcPr>
            <w:tcW w:w="5184" w:type="dxa"/>
            <w:tcBorders>
              <w:top w:val="nil"/>
              <w:left w:val="nil"/>
              <w:bottom w:val="nil"/>
              <w:right w:val="nil"/>
            </w:tcBorders>
          </w:tcPr>
          <w:p w14:paraId="5463700D" w14:textId="77777777" w:rsidR="00D432D9" w:rsidRDefault="00D67FDA">
            <w:pPr>
              <w:spacing w:after="40"/>
            </w:pPr>
            <w:r>
              <w:t>Scientific Director, Institute of Normal and Pathological Physiology, Centre of Experimental Medicine, Slovak Academy of Sciences.</w:t>
            </w:r>
          </w:p>
        </w:tc>
      </w:tr>
      <w:tr w:rsidR="00D432D9" w14:paraId="5C221D6F" w14:textId="77777777">
        <w:trPr>
          <w:jc w:val="center"/>
        </w:trPr>
        <w:tc>
          <w:tcPr>
            <w:tcW w:w="5184" w:type="dxa"/>
            <w:tcBorders>
              <w:top w:val="nil"/>
              <w:left w:val="nil"/>
              <w:bottom w:val="nil"/>
              <w:right w:val="nil"/>
            </w:tcBorders>
          </w:tcPr>
          <w:p w14:paraId="5CD57A42" w14:textId="77777777" w:rsidR="00D432D9" w:rsidRDefault="00D67FDA">
            <w:pPr>
              <w:spacing w:after="40"/>
            </w:pPr>
            <w:r>
              <w:rPr>
                <w:b/>
                <w:color w:val="595959"/>
              </w:rPr>
              <w:t>2015-2018</w:t>
            </w:r>
          </w:p>
        </w:tc>
        <w:tc>
          <w:tcPr>
            <w:tcW w:w="5184" w:type="dxa"/>
            <w:tcBorders>
              <w:top w:val="nil"/>
              <w:left w:val="nil"/>
              <w:bottom w:val="nil"/>
              <w:right w:val="nil"/>
            </w:tcBorders>
          </w:tcPr>
          <w:p w14:paraId="04C030F0" w14:textId="77777777" w:rsidR="00D432D9" w:rsidRDefault="00D67FDA">
            <w:pPr>
              <w:spacing w:after="40"/>
            </w:pPr>
            <w:r>
              <w:t>Vice-Director, Institute of Normal and Pathological Physiology, Slovak Academy of Sciences, Bratislava, Slovakia.</w:t>
            </w:r>
          </w:p>
        </w:tc>
      </w:tr>
      <w:tr w:rsidR="00D432D9" w14:paraId="33D2286D" w14:textId="77777777">
        <w:trPr>
          <w:jc w:val="center"/>
        </w:trPr>
        <w:tc>
          <w:tcPr>
            <w:tcW w:w="5184" w:type="dxa"/>
            <w:tcBorders>
              <w:top w:val="nil"/>
              <w:left w:val="nil"/>
              <w:bottom w:val="nil"/>
              <w:right w:val="nil"/>
            </w:tcBorders>
          </w:tcPr>
          <w:p w14:paraId="23D018A6" w14:textId="77777777" w:rsidR="00D432D9" w:rsidRDefault="00D67FDA">
            <w:pPr>
              <w:spacing w:after="40"/>
            </w:pPr>
            <w:r>
              <w:rPr>
                <w:b/>
                <w:color w:val="595959"/>
              </w:rPr>
              <w:t>2009-present</w:t>
            </w:r>
          </w:p>
        </w:tc>
        <w:tc>
          <w:tcPr>
            <w:tcW w:w="5184" w:type="dxa"/>
            <w:tcBorders>
              <w:top w:val="nil"/>
              <w:left w:val="nil"/>
              <w:bottom w:val="nil"/>
              <w:right w:val="nil"/>
            </w:tcBorders>
          </w:tcPr>
          <w:p w14:paraId="014E4C4F" w14:textId="77777777" w:rsidR="00D432D9" w:rsidRDefault="00D67FDA">
            <w:pPr>
              <w:spacing w:after="40"/>
            </w:pPr>
            <w:r>
              <w:t>Senior Researcher in physiology and biomedicine.</w:t>
            </w:r>
          </w:p>
        </w:tc>
      </w:tr>
    </w:tbl>
    <w:p w14:paraId="20659A25" w14:textId="77777777" w:rsidR="00D432D9" w:rsidRDefault="00D67FDA">
      <w:pPr>
        <w:pStyle w:val="Nadpis1"/>
        <w:pBdr>
          <w:bottom w:val="single" w:sz="6" w:space="1" w:color="9EADCC"/>
        </w:pBdr>
      </w:pPr>
      <w:r>
        <w:rPr>
          <w:rFonts w:ascii="Calibri" w:eastAsia="Calibri" w:hAnsi="Calibri"/>
          <w:color w:val="1F4E79"/>
        </w:rPr>
        <w:t>EDUCATION AND TRAINING</w:t>
      </w:r>
    </w:p>
    <w:tbl>
      <w:tblPr>
        <w:tblW w:w="0" w:type="auto"/>
        <w:jc w:val="center"/>
        <w:tblLayout w:type="fixed"/>
        <w:tblLook w:val="04A0" w:firstRow="1" w:lastRow="0" w:firstColumn="1" w:lastColumn="0" w:noHBand="0" w:noVBand="1"/>
      </w:tblPr>
      <w:tblGrid>
        <w:gridCol w:w="5184"/>
        <w:gridCol w:w="5184"/>
      </w:tblGrid>
      <w:tr w:rsidR="00D432D9" w14:paraId="76734FC2" w14:textId="77777777">
        <w:trPr>
          <w:jc w:val="center"/>
        </w:trPr>
        <w:tc>
          <w:tcPr>
            <w:tcW w:w="5184" w:type="dxa"/>
            <w:tcBorders>
              <w:top w:val="nil"/>
              <w:left w:val="nil"/>
              <w:bottom w:val="nil"/>
              <w:right w:val="nil"/>
            </w:tcBorders>
          </w:tcPr>
          <w:p w14:paraId="74D7336D" w14:textId="77777777" w:rsidR="00D432D9" w:rsidRDefault="00D67FDA">
            <w:pPr>
              <w:spacing w:after="40"/>
            </w:pPr>
            <w:r>
              <w:rPr>
                <w:b/>
                <w:color w:val="595959"/>
              </w:rPr>
              <w:t>2009</w:t>
            </w:r>
          </w:p>
        </w:tc>
        <w:tc>
          <w:tcPr>
            <w:tcW w:w="5184" w:type="dxa"/>
            <w:tcBorders>
              <w:top w:val="nil"/>
              <w:left w:val="nil"/>
              <w:bottom w:val="nil"/>
              <w:right w:val="nil"/>
            </w:tcBorders>
          </w:tcPr>
          <w:p w14:paraId="7EDCC4B5" w14:textId="77777777" w:rsidR="00D432D9" w:rsidRDefault="00D67FDA">
            <w:pPr>
              <w:spacing w:after="40"/>
            </w:pPr>
            <w:r>
              <w:t>Doctor of Sciences (DSc.; equivalent of research professor).</w:t>
            </w:r>
          </w:p>
        </w:tc>
      </w:tr>
      <w:tr w:rsidR="00D432D9" w14:paraId="248C05CB" w14:textId="77777777">
        <w:trPr>
          <w:jc w:val="center"/>
        </w:trPr>
        <w:tc>
          <w:tcPr>
            <w:tcW w:w="5184" w:type="dxa"/>
            <w:tcBorders>
              <w:top w:val="nil"/>
              <w:left w:val="nil"/>
              <w:bottom w:val="nil"/>
              <w:right w:val="nil"/>
            </w:tcBorders>
          </w:tcPr>
          <w:p w14:paraId="40C7B6FE" w14:textId="77777777" w:rsidR="00D432D9" w:rsidRDefault="00D67FDA">
            <w:pPr>
              <w:spacing w:after="40"/>
            </w:pPr>
            <w:r>
              <w:rPr>
                <w:b/>
                <w:color w:val="595959"/>
              </w:rPr>
              <w:t>02/2001-12/2002</w:t>
            </w:r>
          </w:p>
        </w:tc>
        <w:tc>
          <w:tcPr>
            <w:tcW w:w="5184" w:type="dxa"/>
            <w:tcBorders>
              <w:top w:val="nil"/>
              <w:left w:val="nil"/>
              <w:bottom w:val="nil"/>
              <w:right w:val="nil"/>
            </w:tcBorders>
          </w:tcPr>
          <w:p w14:paraId="48C40F4E" w14:textId="77777777" w:rsidR="00D432D9" w:rsidRDefault="00D67FDA">
            <w:pPr>
              <w:spacing w:after="40"/>
            </w:pPr>
            <w:r>
              <w:t>Postdoctoral study, Wright State University School of Medicine, Department of Pharmacology and Toxicology, Dayton, Ohio, USA.</w:t>
            </w:r>
          </w:p>
        </w:tc>
      </w:tr>
      <w:tr w:rsidR="00D432D9" w14:paraId="2E135CCC" w14:textId="77777777">
        <w:trPr>
          <w:jc w:val="center"/>
        </w:trPr>
        <w:tc>
          <w:tcPr>
            <w:tcW w:w="5184" w:type="dxa"/>
            <w:tcBorders>
              <w:top w:val="nil"/>
              <w:left w:val="nil"/>
              <w:bottom w:val="nil"/>
              <w:right w:val="nil"/>
            </w:tcBorders>
          </w:tcPr>
          <w:p w14:paraId="2AC70A26" w14:textId="77777777" w:rsidR="00D432D9" w:rsidRDefault="00D67FDA">
            <w:pPr>
              <w:spacing w:after="40"/>
            </w:pPr>
            <w:r>
              <w:rPr>
                <w:b/>
                <w:color w:val="595959"/>
              </w:rPr>
              <w:t>12/1997</w:t>
            </w:r>
          </w:p>
        </w:tc>
        <w:tc>
          <w:tcPr>
            <w:tcW w:w="5184" w:type="dxa"/>
            <w:tcBorders>
              <w:top w:val="nil"/>
              <w:left w:val="nil"/>
              <w:bottom w:val="nil"/>
              <w:right w:val="nil"/>
            </w:tcBorders>
          </w:tcPr>
          <w:p w14:paraId="30DD1FA2" w14:textId="77777777" w:rsidR="00D432D9" w:rsidRDefault="00D67FDA">
            <w:pPr>
              <w:spacing w:after="40"/>
            </w:pPr>
            <w:r>
              <w:t>CSc. degree (equivalent of PhD), Slovak Academy of Sciences, Bratislava, Slovak Republic.</w:t>
            </w:r>
          </w:p>
        </w:tc>
      </w:tr>
      <w:tr w:rsidR="00D432D9" w14:paraId="29E6A368" w14:textId="77777777">
        <w:trPr>
          <w:jc w:val="center"/>
        </w:trPr>
        <w:tc>
          <w:tcPr>
            <w:tcW w:w="5184" w:type="dxa"/>
            <w:tcBorders>
              <w:top w:val="nil"/>
              <w:left w:val="nil"/>
              <w:bottom w:val="nil"/>
              <w:right w:val="nil"/>
            </w:tcBorders>
          </w:tcPr>
          <w:p w14:paraId="37DBDADF" w14:textId="77777777" w:rsidR="00D432D9" w:rsidRDefault="00D67FDA">
            <w:pPr>
              <w:spacing w:after="40"/>
            </w:pPr>
            <w:r>
              <w:rPr>
                <w:b/>
                <w:color w:val="595959"/>
              </w:rPr>
              <w:t>09/1985-06/1991</w:t>
            </w:r>
          </w:p>
        </w:tc>
        <w:tc>
          <w:tcPr>
            <w:tcW w:w="5184" w:type="dxa"/>
            <w:tcBorders>
              <w:top w:val="nil"/>
              <w:left w:val="nil"/>
              <w:bottom w:val="nil"/>
              <w:right w:val="nil"/>
            </w:tcBorders>
          </w:tcPr>
          <w:p w14:paraId="086871E9" w14:textId="77777777" w:rsidR="00D432D9" w:rsidRDefault="00D67FDA">
            <w:pPr>
              <w:spacing w:after="40"/>
            </w:pPr>
            <w:r>
              <w:t>Mgr. degree, Faculty of Natural Sciences, Comenius University, Bratislava, Slovakia.</w:t>
            </w:r>
          </w:p>
        </w:tc>
      </w:tr>
    </w:tbl>
    <w:p w14:paraId="10178342" w14:textId="77777777" w:rsidR="00D432D9" w:rsidRDefault="00D67FDA">
      <w:pPr>
        <w:pStyle w:val="Nadpis1"/>
        <w:pBdr>
          <w:bottom w:val="single" w:sz="6" w:space="1" w:color="9EADCC"/>
        </w:pBdr>
      </w:pPr>
      <w:r>
        <w:rPr>
          <w:rFonts w:ascii="Calibri" w:eastAsia="Calibri" w:hAnsi="Calibri"/>
          <w:color w:val="1F4E79"/>
        </w:rPr>
        <w:t>RESEARCH PROFILE</w:t>
      </w:r>
    </w:p>
    <w:p w14:paraId="71133079" w14:textId="77777777" w:rsidR="00D432D9" w:rsidRDefault="00D67FDA">
      <w:pPr>
        <w:spacing w:after="80"/>
        <w:jc w:val="both"/>
      </w:pPr>
      <w:r>
        <w:t>Prof. Iveta Bernátová's research focuses on cardiovascular physiology and cardiometabolic disease, with emphasis on blood-pressure regulation, endothelial function, nitric oxide signalling, oxidative stress, the renin-angiotensin system, iron metabolism, and NRF2-mediated mechanisms. Her current work investigates the regulatory roles of NRF2 in chronic social stress and Western diet-induced cardiometabolic disease, including vascular, cardiac and hepatic outcomes in prehypertensive rat models with and without hypertriglyceridemia. She also studies NRF2 activators, especially dimethyl fumarate and monomethyl fumarate, as potential preventive tools against stress-induced hypertension and Western diet-associated cardiovascular and hepatic disorders. Her research also covers natural polyphenols, including (-)-epicatechin, taxifolin and red wine polyphenols, as modulators of blood pressure and endothelial function.</w:t>
      </w:r>
    </w:p>
    <w:p w14:paraId="08378653" w14:textId="77777777" w:rsidR="00D432D9" w:rsidRDefault="00D67FDA">
      <w:pPr>
        <w:jc w:val="both"/>
      </w:pPr>
      <w:r>
        <w:t>She has led or participated in more than 20 national and international research projects as project leader or deputy project leader.</w:t>
      </w:r>
    </w:p>
    <w:p w14:paraId="5528D513" w14:textId="77777777" w:rsidR="00D432D9" w:rsidRDefault="00D67FDA">
      <w:pPr>
        <w:pStyle w:val="Nadpis1"/>
        <w:pBdr>
          <w:bottom w:val="single" w:sz="6" w:space="1" w:color="9EADCC"/>
        </w:pBdr>
      </w:pPr>
      <w:r>
        <w:rPr>
          <w:rFonts w:ascii="Calibri" w:eastAsia="Calibri" w:hAnsi="Calibri"/>
          <w:color w:val="1F4E79"/>
        </w:rPr>
        <w:t>SELECTED RESEARCH PROJECTS - LAST FIVE YEARS</w:t>
      </w:r>
    </w:p>
    <w:tbl>
      <w:tblPr>
        <w:tblW w:w="0" w:type="auto"/>
        <w:jc w:val="center"/>
        <w:tblLayout w:type="fixed"/>
        <w:tblLook w:val="04A0" w:firstRow="1" w:lastRow="0" w:firstColumn="1" w:lastColumn="0" w:noHBand="0" w:noVBand="1"/>
      </w:tblPr>
      <w:tblGrid>
        <w:gridCol w:w="5184"/>
        <w:gridCol w:w="5184"/>
      </w:tblGrid>
      <w:tr w:rsidR="00D432D9" w14:paraId="4F288512" w14:textId="77777777">
        <w:trPr>
          <w:jc w:val="center"/>
        </w:trPr>
        <w:tc>
          <w:tcPr>
            <w:tcW w:w="5184" w:type="dxa"/>
            <w:tcBorders>
              <w:top w:val="nil"/>
              <w:left w:val="nil"/>
              <w:bottom w:val="nil"/>
              <w:right w:val="nil"/>
            </w:tcBorders>
          </w:tcPr>
          <w:p w14:paraId="1A831937" w14:textId="77777777" w:rsidR="00D432D9" w:rsidRDefault="00D67FDA">
            <w:pPr>
              <w:spacing w:after="40"/>
            </w:pPr>
            <w:r>
              <w:rPr>
                <w:b/>
                <w:color w:val="595959"/>
              </w:rPr>
              <w:t>2025-2028</w:t>
            </w:r>
          </w:p>
        </w:tc>
        <w:tc>
          <w:tcPr>
            <w:tcW w:w="5184" w:type="dxa"/>
            <w:tcBorders>
              <w:top w:val="nil"/>
              <w:left w:val="nil"/>
              <w:bottom w:val="nil"/>
              <w:right w:val="nil"/>
            </w:tcBorders>
          </w:tcPr>
          <w:p w14:paraId="326B0841" w14:textId="77777777" w:rsidR="00D432D9" w:rsidRDefault="00D67FDA">
            <w:pPr>
              <w:spacing w:after="40"/>
            </w:pPr>
            <w:r>
              <w:t>Model of Western diet-induced metabolic dysfunction-associated fatty liver disease (MAFLD) in borderline hypertensive rats: effect of monomethyl fumarate. VEGA 2/0103/2025. Role: project leader.</w:t>
            </w:r>
          </w:p>
        </w:tc>
      </w:tr>
      <w:tr w:rsidR="00D432D9" w14:paraId="7981D812" w14:textId="77777777">
        <w:trPr>
          <w:jc w:val="center"/>
        </w:trPr>
        <w:tc>
          <w:tcPr>
            <w:tcW w:w="5184" w:type="dxa"/>
            <w:tcBorders>
              <w:top w:val="nil"/>
              <w:left w:val="nil"/>
              <w:bottom w:val="nil"/>
              <w:right w:val="nil"/>
            </w:tcBorders>
          </w:tcPr>
          <w:p w14:paraId="6085ED1D" w14:textId="77777777" w:rsidR="00D432D9" w:rsidRDefault="00D67FDA">
            <w:pPr>
              <w:spacing w:after="40"/>
            </w:pPr>
            <w:r>
              <w:rPr>
                <w:b/>
                <w:color w:val="595959"/>
              </w:rPr>
              <w:t>2024-2026</w:t>
            </w:r>
          </w:p>
        </w:tc>
        <w:tc>
          <w:tcPr>
            <w:tcW w:w="5184" w:type="dxa"/>
            <w:tcBorders>
              <w:top w:val="nil"/>
              <w:left w:val="nil"/>
              <w:bottom w:val="nil"/>
              <w:right w:val="nil"/>
            </w:tcBorders>
          </w:tcPr>
          <w:p w14:paraId="0CE648C1" w14:textId="78D14E25" w:rsidR="00D432D9" w:rsidRDefault="00D67FDA">
            <w:pPr>
              <w:spacing w:after="40"/>
            </w:pPr>
            <w:r>
              <w:t xml:space="preserve">Dimethyl fumarate as a potential tool for the prevention of cardiovascular and hepatic disorders associated with </w:t>
            </w:r>
            <w:r w:rsidR="006E6B68">
              <w:t xml:space="preserve">the </w:t>
            </w:r>
            <w:r>
              <w:t>Western diet in borderline hypertensive rats. 09I03-03-V04, R4 - Fellowships for excellent researchers.</w:t>
            </w:r>
          </w:p>
        </w:tc>
      </w:tr>
      <w:tr w:rsidR="00D432D9" w14:paraId="04B3C5E7" w14:textId="77777777">
        <w:trPr>
          <w:jc w:val="center"/>
        </w:trPr>
        <w:tc>
          <w:tcPr>
            <w:tcW w:w="5184" w:type="dxa"/>
            <w:tcBorders>
              <w:top w:val="nil"/>
              <w:left w:val="nil"/>
              <w:bottom w:val="nil"/>
              <w:right w:val="nil"/>
            </w:tcBorders>
          </w:tcPr>
          <w:p w14:paraId="054B2114" w14:textId="77777777" w:rsidR="00D432D9" w:rsidRDefault="00D67FDA">
            <w:pPr>
              <w:spacing w:after="40"/>
            </w:pPr>
            <w:r>
              <w:rPr>
                <w:b/>
                <w:color w:val="595959"/>
              </w:rPr>
              <w:t>2023-2027</w:t>
            </w:r>
          </w:p>
        </w:tc>
        <w:tc>
          <w:tcPr>
            <w:tcW w:w="5184" w:type="dxa"/>
            <w:tcBorders>
              <w:top w:val="nil"/>
              <w:left w:val="nil"/>
              <w:bottom w:val="nil"/>
              <w:right w:val="nil"/>
            </w:tcBorders>
          </w:tcPr>
          <w:p w14:paraId="2E40BD88" w14:textId="77777777" w:rsidR="00D432D9" w:rsidRDefault="00D67FDA">
            <w:pPr>
              <w:spacing w:after="40"/>
            </w:pPr>
            <w:r>
              <w:t>Identification of stress-induced alterations in expression of NRF2 target genes in rat models of prehypertension: the effect of comorbid hypertriglyceridemia and dimethyl fumarate treatment. APVV-22-0296. Role: project leader.</w:t>
            </w:r>
          </w:p>
        </w:tc>
      </w:tr>
      <w:tr w:rsidR="00D432D9" w14:paraId="543406B6" w14:textId="77777777">
        <w:trPr>
          <w:jc w:val="center"/>
        </w:trPr>
        <w:tc>
          <w:tcPr>
            <w:tcW w:w="5184" w:type="dxa"/>
            <w:tcBorders>
              <w:top w:val="nil"/>
              <w:left w:val="nil"/>
              <w:bottom w:val="nil"/>
              <w:right w:val="nil"/>
            </w:tcBorders>
          </w:tcPr>
          <w:p w14:paraId="7FBBEAEF" w14:textId="77777777" w:rsidR="00D432D9" w:rsidRDefault="00D67FDA">
            <w:pPr>
              <w:spacing w:after="40"/>
            </w:pPr>
            <w:r>
              <w:rPr>
                <w:b/>
                <w:color w:val="595959"/>
              </w:rPr>
              <w:lastRenderedPageBreak/>
              <w:t>2021-2025</w:t>
            </w:r>
          </w:p>
        </w:tc>
        <w:tc>
          <w:tcPr>
            <w:tcW w:w="5184" w:type="dxa"/>
            <w:tcBorders>
              <w:top w:val="nil"/>
              <w:left w:val="nil"/>
              <w:bottom w:val="nil"/>
              <w:right w:val="nil"/>
            </w:tcBorders>
          </w:tcPr>
          <w:p w14:paraId="6730BF9E" w14:textId="77777777" w:rsidR="00D432D9" w:rsidRDefault="00D67FDA">
            <w:pPr>
              <w:spacing w:after="40"/>
            </w:pPr>
            <w:r>
              <w:t>Bench to Bedside transition for Pharmacological regulation of NRF2 in non-communicable diseases. CA20121. Role: member of the management committee.</w:t>
            </w:r>
          </w:p>
        </w:tc>
      </w:tr>
      <w:tr w:rsidR="00D432D9" w14:paraId="5BBE83EB" w14:textId="77777777">
        <w:trPr>
          <w:jc w:val="center"/>
        </w:trPr>
        <w:tc>
          <w:tcPr>
            <w:tcW w:w="5184" w:type="dxa"/>
            <w:tcBorders>
              <w:top w:val="nil"/>
              <w:left w:val="nil"/>
              <w:bottom w:val="nil"/>
              <w:right w:val="nil"/>
            </w:tcBorders>
          </w:tcPr>
          <w:p w14:paraId="6AF246B0" w14:textId="77777777" w:rsidR="00D432D9" w:rsidRDefault="00D67FDA">
            <w:pPr>
              <w:spacing w:after="40"/>
            </w:pPr>
            <w:r>
              <w:rPr>
                <w:b/>
                <w:color w:val="595959"/>
              </w:rPr>
              <w:t>2021-2024</w:t>
            </w:r>
          </w:p>
        </w:tc>
        <w:tc>
          <w:tcPr>
            <w:tcW w:w="5184" w:type="dxa"/>
            <w:tcBorders>
              <w:top w:val="nil"/>
              <w:left w:val="nil"/>
              <w:bottom w:val="nil"/>
              <w:right w:val="nil"/>
            </w:tcBorders>
          </w:tcPr>
          <w:p w14:paraId="6B8EAE38" w14:textId="77777777" w:rsidR="00D432D9" w:rsidRDefault="00D67FDA">
            <w:pPr>
              <w:spacing w:after="40"/>
            </w:pPr>
            <w:r>
              <w:t>Role of nuclear factor NRF2-mediated signalling in iron metabolism regulation during stress. VEGA 2/0157/21. Role: project leader.</w:t>
            </w:r>
          </w:p>
        </w:tc>
      </w:tr>
    </w:tbl>
    <w:p w14:paraId="36D7A5AA" w14:textId="5BF875CC" w:rsidR="00D432D9" w:rsidRDefault="00D432D9"/>
    <w:p w14:paraId="09FB35B1" w14:textId="77777777" w:rsidR="00D432D9" w:rsidRDefault="00D67FDA">
      <w:pPr>
        <w:pStyle w:val="Nadpis1"/>
        <w:pBdr>
          <w:bottom w:val="single" w:sz="6" w:space="1" w:color="9EADCC"/>
        </w:pBdr>
      </w:pPr>
      <w:r>
        <w:rPr>
          <w:rFonts w:ascii="Calibri" w:eastAsia="Calibri" w:hAnsi="Calibri"/>
          <w:color w:val="1F4E79"/>
        </w:rPr>
        <w:t>RESEARCH OUTPUT SUMMARY</w:t>
      </w:r>
    </w:p>
    <w:tbl>
      <w:tblPr>
        <w:tblW w:w="0" w:type="auto"/>
        <w:jc w:val="center"/>
        <w:tblLayout w:type="fixed"/>
        <w:tblLook w:val="04A0" w:firstRow="1" w:lastRow="0" w:firstColumn="1" w:lastColumn="0" w:noHBand="0" w:noVBand="1"/>
      </w:tblPr>
      <w:tblGrid>
        <w:gridCol w:w="2592"/>
        <w:gridCol w:w="2592"/>
        <w:gridCol w:w="2592"/>
        <w:gridCol w:w="2592"/>
      </w:tblGrid>
      <w:tr w:rsidR="00D432D9" w14:paraId="52DAD044" w14:textId="77777777">
        <w:trPr>
          <w:jc w:val="center"/>
        </w:trPr>
        <w:tc>
          <w:tcPr>
            <w:tcW w:w="2592" w:type="dxa"/>
            <w:tcBorders>
              <w:top w:val="single" w:sz="3" w:space="0" w:color="9EADCC"/>
              <w:left w:val="single" w:sz="2" w:space="0" w:color="D9E2F3"/>
              <w:bottom w:val="single" w:sz="3" w:space="0" w:color="9EADCC"/>
              <w:right w:val="single" w:sz="2" w:space="0" w:color="D9E2F3"/>
            </w:tcBorders>
            <w:shd w:val="clear" w:color="auto" w:fill="F2F6FC"/>
          </w:tcPr>
          <w:p w14:paraId="05476CFE" w14:textId="77777777" w:rsidR="00D432D9" w:rsidRDefault="00D67FDA">
            <w:pPr>
              <w:spacing w:after="20"/>
              <w:jc w:val="center"/>
            </w:pPr>
            <w:r>
              <w:rPr>
                <w:b/>
                <w:color w:val="1F4E79"/>
                <w:sz w:val="17"/>
              </w:rPr>
              <w:t>Peer-reviewed publications</w:t>
            </w:r>
            <w:r>
              <w:rPr>
                <w:b/>
                <w:color w:val="1F4E79"/>
                <w:sz w:val="17"/>
              </w:rPr>
              <w:br/>
            </w:r>
            <w:r>
              <w:rPr>
                <w:b/>
                <w:sz w:val="22"/>
              </w:rPr>
              <w:t>155</w:t>
            </w:r>
          </w:p>
        </w:tc>
        <w:tc>
          <w:tcPr>
            <w:tcW w:w="2592" w:type="dxa"/>
            <w:tcBorders>
              <w:top w:val="single" w:sz="3" w:space="0" w:color="9EADCC"/>
              <w:left w:val="single" w:sz="2" w:space="0" w:color="D9E2F3"/>
              <w:bottom w:val="single" w:sz="3" w:space="0" w:color="9EADCC"/>
              <w:right w:val="single" w:sz="2" w:space="0" w:color="D9E2F3"/>
            </w:tcBorders>
            <w:shd w:val="clear" w:color="auto" w:fill="F2F6FC"/>
          </w:tcPr>
          <w:p w14:paraId="202D0DC3" w14:textId="77777777" w:rsidR="00D432D9" w:rsidRDefault="00D67FDA">
            <w:pPr>
              <w:spacing w:after="20"/>
              <w:jc w:val="center"/>
            </w:pPr>
            <w:r>
              <w:rPr>
                <w:b/>
                <w:color w:val="1F4E79"/>
                <w:sz w:val="17"/>
              </w:rPr>
              <w:t>Monograph chapters</w:t>
            </w:r>
            <w:r>
              <w:rPr>
                <w:b/>
                <w:color w:val="1F4E79"/>
                <w:sz w:val="17"/>
              </w:rPr>
              <w:br/>
            </w:r>
            <w:r>
              <w:rPr>
                <w:b/>
                <w:sz w:val="22"/>
              </w:rPr>
              <w:t>8</w:t>
            </w:r>
          </w:p>
        </w:tc>
        <w:tc>
          <w:tcPr>
            <w:tcW w:w="2592" w:type="dxa"/>
            <w:tcBorders>
              <w:top w:val="single" w:sz="3" w:space="0" w:color="9EADCC"/>
              <w:left w:val="single" w:sz="2" w:space="0" w:color="D9E2F3"/>
              <w:bottom w:val="single" w:sz="3" w:space="0" w:color="9EADCC"/>
              <w:right w:val="single" w:sz="2" w:space="0" w:color="D9E2F3"/>
            </w:tcBorders>
            <w:shd w:val="clear" w:color="auto" w:fill="F2F6FC"/>
          </w:tcPr>
          <w:p w14:paraId="7B75C23C" w14:textId="5E1C979E" w:rsidR="00D432D9" w:rsidRDefault="00D67FDA">
            <w:pPr>
              <w:spacing w:after="20"/>
              <w:jc w:val="center"/>
            </w:pPr>
            <w:r>
              <w:rPr>
                <w:b/>
                <w:color w:val="1F4E79"/>
                <w:sz w:val="17"/>
              </w:rPr>
              <w:t>Citations</w:t>
            </w:r>
            <w:r>
              <w:rPr>
                <w:b/>
                <w:color w:val="1F4E79"/>
                <w:sz w:val="17"/>
              </w:rPr>
              <w:br/>
            </w:r>
            <w:r>
              <w:rPr>
                <w:b/>
                <w:sz w:val="22"/>
              </w:rPr>
              <w:t>approx. 2</w:t>
            </w:r>
            <w:r w:rsidR="006E6B68">
              <w:rPr>
                <w:b/>
                <w:sz w:val="22"/>
              </w:rPr>
              <w:t>4</w:t>
            </w:r>
            <w:r>
              <w:rPr>
                <w:b/>
                <w:sz w:val="22"/>
              </w:rPr>
              <w:t>00</w:t>
            </w:r>
          </w:p>
        </w:tc>
        <w:tc>
          <w:tcPr>
            <w:tcW w:w="2592" w:type="dxa"/>
            <w:tcBorders>
              <w:top w:val="single" w:sz="3" w:space="0" w:color="9EADCC"/>
              <w:left w:val="single" w:sz="2" w:space="0" w:color="D9E2F3"/>
              <w:bottom w:val="single" w:sz="3" w:space="0" w:color="9EADCC"/>
              <w:right w:val="single" w:sz="2" w:space="0" w:color="D9E2F3"/>
            </w:tcBorders>
            <w:shd w:val="clear" w:color="auto" w:fill="F2F6FC"/>
          </w:tcPr>
          <w:p w14:paraId="6FA9742D" w14:textId="6EF9EA34" w:rsidR="00D432D9" w:rsidRDefault="00D67FDA">
            <w:pPr>
              <w:spacing w:after="20"/>
              <w:jc w:val="center"/>
            </w:pPr>
            <w:r>
              <w:rPr>
                <w:b/>
                <w:color w:val="1F4E79"/>
                <w:sz w:val="17"/>
              </w:rPr>
              <w:t>Scopus h-index</w:t>
            </w:r>
            <w:r>
              <w:rPr>
                <w:b/>
                <w:color w:val="1F4E79"/>
                <w:sz w:val="17"/>
              </w:rPr>
              <w:br/>
            </w:r>
            <w:r>
              <w:rPr>
                <w:b/>
                <w:sz w:val="22"/>
              </w:rPr>
              <w:t>3</w:t>
            </w:r>
            <w:r w:rsidR="003027BD">
              <w:rPr>
                <w:b/>
                <w:sz w:val="22"/>
              </w:rPr>
              <w:t>2</w:t>
            </w:r>
          </w:p>
        </w:tc>
      </w:tr>
    </w:tbl>
    <w:p w14:paraId="2F74AC87" w14:textId="77777777" w:rsidR="00D432D9" w:rsidRDefault="00D67FDA">
      <w:pPr>
        <w:pStyle w:val="Nadpis1"/>
        <w:pBdr>
          <w:bottom w:val="single" w:sz="6" w:space="1" w:color="9EADCC"/>
        </w:pBdr>
      </w:pPr>
      <w:r>
        <w:rPr>
          <w:rFonts w:ascii="Calibri" w:eastAsia="Calibri" w:hAnsi="Calibri"/>
          <w:color w:val="1F4E79"/>
        </w:rPr>
        <w:t>SELECTED PUBLICATIONS</w:t>
      </w:r>
    </w:p>
    <w:p w14:paraId="2A0B7922" w14:textId="77777777" w:rsidR="00D432D9" w:rsidRDefault="00D67FDA">
      <w:pPr>
        <w:spacing w:after="40"/>
        <w:ind w:left="403" w:hanging="403"/>
      </w:pPr>
      <w:r>
        <w:rPr>
          <w:b/>
          <w:sz w:val="17"/>
        </w:rPr>
        <w:t xml:space="preserve">1. </w:t>
      </w:r>
      <w:r>
        <w:rPr>
          <w:sz w:val="17"/>
        </w:rPr>
        <w:t>BERNÁTOVÁ I. Biological activities of (-)-epicatechin and (-)-epicatechin-containing foods: Focus on cardiovascular and neuropsychological health. Biotechnol Adv, 2018, 36(3), 666-681. Citations: 108.</w:t>
      </w:r>
    </w:p>
    <w:p w14:paraId="1532C8C6" w14:textId="77777777" w:rsidR="00D432D9" w:rsidRDefault="00D67FDA">
      <w:pPr>
        <w:spacing w:after="40"/>
        <w:ind w:left="403" w:hanging="403"/>
      </w:pPr>
      <w:r>
        <w:rPr>
          <w:b/>
          <w:sz w:val="17"/>
        </w:rPr>
        <w:t xml:space="preserve">2. </w:t>
      </w:r>
      <w:r>
        <w:rPr>
          <w:sz w:val="17"/>
        </w:rPr>
        <w:t>BERNÁTOVÁ I., et al. Wine polyphenols improve cardiovascular remodeling and vascular function in NO-deficient hypertension. Am J Physiol Heart Circ Physiol, 2002, 282(3), H942-H948. Citations: 115.</w:t>
      </w:r>
    </w:p>
    <w:p w14:paraId="584D08FA" w14:textId="77777777" w:rsidR="00D432D9" w:rsidRDefault="00D67FDA">
      <w:pPr>
        <w:spacing w:after="40"/>
        <w:ind w:left="403" w:hanging="403"/>
      </w:pPr>
      <w:r>
        <w:rPr>
          <w:b/>
          <w:sz w:val="17"/>
        </w:rPr>
        <w:t xml:space="preserve">3. </w:t>
      </w:r>
      <w:r>
        <w:rPr>
          <w:sz w:val="17"/>
        </w:rPr>
        <w:t>BERNÁTOVÁ I. Endothelial dysfunction in experimental models of arterial hypertension: Cause or consequence? Biomed Res Int, 2014, article ID 598271, 1-14. Citations: 84.</w:t>
      </w:r>
    </w:p>
    <w:p w14:paraId="1E5E4FBD" w14:textId="77777777" w:rsidR="00D432D9" w:rsidRDefault="00D67FDA">
      <w:pPr>
        <w:spacing w:after="40"/>
        <w:ind w:left="403" w:hanging="403"/>
      </w:pPr>
      <w:r>
        <w:rPr>
          <w:b/>
          <w:sz w:val="17"/>
        </w:rPr>
        <w:t xml:space="preserve">4. </w:t>
      </w:r>
      <w:r>
        <w:rPr>
          <w:sz w:val="17"/>
        </w:rPr>
        <w:t>BERNÁTOVÁ I., et al. Endothelial dysfunction in spontaneously hypertensive rats: Focus on methodological aspects. J Hypertens, 2009, 27(Suppl 6), S27-S31. Citations: 39.</w:t>
      </w:r>
    </w:p>
    <w:p w14:paraId="2325D53C" w14:textId="77777777" w:rsidR="00D432D9" w:rsidRDefault="00D67FDA">
      <w:pPr>
        <w:spacing w:after="40"/>
        <w:ind w:left="403" w:hanging="403"/>
      </w:pPr>
      <w:r>
        <w:rPr>
          <w:b/>
          <w:sz w:val="17"/>
        </w:rPr>
        <w:t xml:space="preserve">5. </w:t>
      </w:r>
      <w:r>
        <w:rPr>
          <w:sz w:val="17"/>
        </w:rPr>
        <w:t>KLUKNAVSKÝ M., et al. (-)-Epicatechin reduces the blood pressure of young borderline hypertensive rats during the post-treatment period. Antioxidants, 2020, 9(2), 96. Citations: 22.</w:t>
      </w:r>
    </w:p>
    <w:p w14:paraId="7D7234E3" w14:textId="77777777" w:rsidR="00D432D9" w:rsidRDefault="00D67FDA">
      <w:pPr>
        <w:spacing w:after="40"/>
        <w:ind w:left="403" w:hanging="403"/>
      </w:pPr>
      <w:r>
        <w:rPr>
          <w:b/>
          <w:sz w:val="17"/>
        </w:rPr>
        <w:t xml:space="preserve">6. </w:t>
      </w:r>
      <w:r>
        <w:rPr>
          <w:sz w:val="17"/>
        </w:rPr>
        <w:t>GALLEANO M., et al. (-)-Epicatechin reduces blood pressure and improves vasorelaxation in spontaneously hypertensive rats by NO-mediated mechanism. IUBMB Life, 2013, 65(8), 710-715. Citations: 60.</w:t>
      </w:r>
    </w:p>
    <w:p w14:paraId="2163DD5B" w14:textId="77777777" w:rsidR="00D432D9" w:rsidRDefault="00D67FDA">
      <w:pPr>
        <w:spacing w:after="40"/>
        <w:ind w:left="403" w:hanging="403"/>
      </w:pPr>
      <w:r>
        <w:rPr>
          <w:b/>
          <w:sz w:val="17"/>
        </w:rPr>
        <w:t xml:space="preserve">7. </w:t>
      </w:r>
      <w:r>
        <w:rPr>
          <w:sz w:val="17"/>
        </w:rPr>
        <w:t>ŠESTÁKOVÁ N., et al. Determination of motor activity and anxiety-related behaviour in rodents: Methodological aspects and role of nitric oxide. Interdiscip Toxicol, 2013, 6(3), 126-135. Citations: 280.</w:t>
      </w:r>
    </w:p>
    <w:p w14:paraId="0F2FAD53" w14:textId="77777777" w:rsidR="00D432D9" w:rsidRDefault="00D67FDA">
      <w:pPr>
        <w:spacing w:after="40"/>
        <w:ind w:left="403" w:hanging="403"/>
      </w:pPr>
      <w:r>
        <w:rPr>
          <w:b/>
          <w:sz w:val="17"/>
        </w:rPr>
        <w:t xml:space="preserve">8. </w:t>
      </w:r>
      <w:r>
        <w:rPr>
          <w:sz w:val="17"/>
        </w:rPr>
        <w:t>RAVINGEROVÁ T., et al. The molecular mechanisms of iron metabolism and its role in cardiac dysfunction and cardioprotection. Int J Mol Sci, 2020, 21(21), 7889. Citations: 150.</w:t>
      </w:r>
    </w:p>
    <w:p w14:paraId="331904A6" w14:textId="77777777" w:rsidR="00D432D9" w:rsidRDefault="00D67FDA">
      <w:pPr>
        <w:spacing w:after="40"/>
        <w:ind w:left="403" w:hanging="403"/>
      </w:pPr>
      <w:r>
        <w:rPr>
          <w:b/>
          <w:sz w:val="17"/>
        </w:rPr>
        <w:t xml:space="preserve">9. </w:t>
      </w:r>
      <w:r>
        <w:rPr>
          <w:sz w:val="17"/>
        </w:rPr>
        <w:t>KOPINCOVÁ J.; BERNÁTOVÁ I. Dimethyl fumarate vs. monomethyl fumarate: Unresolved pharmacologic issues. Pharmaceutics, 2025, 17(12), article 1506.</w:t>
      </w:r>
    </w:p>
    <w:p w14:paraId="61D41052" w14:textId="77777777" w:rsidR="00D432D9" w:rsidRDefault="00D67FDA">
      <w:pPr>
        <w:spacing w:after="40"/>
        <w:ind w:left="403" w:hanging="403"/>
      </w:pPr>
      <w:r>
        <w:rPr>
          <w:b/>
          <w:sz w:val="17"/>
        </w:rPr>
        <w:t xml:space="preserve">10. </w:t>
      </w:r>
      <w:r>
        <w:rPr>
          <w:sz w:val="17"/>
        </w:rPr>
        <w:t>BERNÁTOVÁ I., et al. Circadian differences in stress-induced pressor reactivity in mice. Hypertension, 2002, 40(5), 768-773. Citations: 43.</w:t>
      </w:r>
    </w:p>
    <w:p w14:paraId="1F830696" w14:textId="77777777" w:rsidR="00D432D9" w:rsidRDefault="00D67FDA">
      <w:pPr>
        <w:pStyle w:val="Nadpis1"/>
        <w:pBdr>
          <w:bottom w:val="single" w:sz="6" w:space="1" w:color="9EADCC"/>
        </w:pBdr>
      </w:pPr>
      <w:r>
        <w:rPr>
          <w:rFonts w:ascii="Calibri" w:eastAsia="Calibri" w:hAnsi="Calibri"/>
          <w:color w:val="1F4E79"/>
        </w:rPr>
        <w:t>SUPERVISION AND MENTORING</w:t>
      </w:r>
    </w:p>
    <w:p w14:paraId="00A07872" w14:textId="77777777" w:rsidR="00D432D9" w:rsidRDefault="00D67FDA">
      <w:pPr>
        <w:pStyle w:val="Zoznamsodrkami"/>
        <w:spacing w:after="40"/>
        <w:ind w:left="317" w:hanging="259"/>
      </w:pPr>
      <w:r>
        <w:t>Supervision of pre-graduate students (10), PhD students (9), postdoctoral researchers (4), and young scientists in the SASPRO programme (1).</w:t>
      </w:r>
    </w:p>
    <w:p w14:paraId="273959A0" w14:textId="77777777" w:rsidR="00D432D9" w:rsidRDefault="00D67FDA">
      <w:pPr>
        <w:pStyle w:val="Nadpis1"/>
        <w:pBdr>
          <w:bottom w:val="single" w:sz="6" w:space="1" w:color="9EADCC"/>
        </w:pBdr>
      </w:pPr>
      <w:r>
        <w:rPr>
          <w:rFonts w:ascii="Calibri" w:eastAsia="Calibri" w:hAnsi="Calibri"/>
          <w:color w:val="1F4E79"/>
        </w:rPr>
        <w:t>SCIENTIFIC MEMBERSHIPS</w:t>
      </w:r>
    </w:p>
    <w:p w14:paraId="5E30090B" w14:textId="77777777" w:rsidR="00D432D9" w:rsidRDefault="00D67FDA">
      <w:pPr>
        <w:pStyle w:val="Zoznamsodrkami"/>
        <w:spacing w:after="40"/>
        <w:ind w:left="317" w:hanging="259"/>
      </w:pPr>
      <w:r>
        <w:t>Interamerican Society for Hypertension</w:t>
      </w:r>
    </w:p>
    <w:p w14:paraId="73D7DFFE" w14:textId="77777777" w:rsidR="00D432D9" w:rsidRDefault="00D67FDA">
      <w:pPr>
        <w:pStyle w:val="Zoznamsodrkami"/>
        <w:spacing w:after="40"/>
        <w:ind w:left="317" w:hanging="259"/>
      </w:pPr>
      <w:r>
        <w:t>International Society of Pathophysiology</w:t>
      </w:r>
    </w:p>
    <w:p w14:paraId="3BB9187F" w14:textId="77777777" w:rsidR="00D432D9" w:rsidRDefault="00D67FDA">
      <w:pPr>
        <w:pStyle w:val="Zoznamsodrkami"/>
        <w:spacing w:after="40"/>
        <w:ind w:left="317" w:hanging="259"/>
      </w:pPr>
      <w:r>
        <w:t>Slovak Physiological Society</w:t>
      </w:r>
    </w:p>
    <w:p w14:paraId="46ED987A" w14:textId="77777777" w:rsidR="00D432D9" w:rsidRDefault="00D67FDA">
      <w:pPr>
        <w:pStyle w:val="Zoznamsodrkami"/>
        <w:spacing w:after="40"/>
        <w:ind w:left="317" w:hanging="259"/>
      </w:pPr>
      <w:r>
        <w:t>Slovak Society for Hypertension</w:t>
      </w:r>
    </w:p>
    <w:p w14:paraId="23FF6015" w14:textId="77777777" w:rsidR="00D432D9" w:rsidRDefault="00D67FDA">
      <w:pPr>
        <w:pStyle w:val="Zoznamsodrkami"/>
        <w:spacing w:after="40"/>
        <w:ind w:left="317" w:hanging="259"/>
      </w:pPr>
      <w:r>
        <w:t>Slovak Society for Biochemistry and Molecular Biology</w:t>
      </w:r>
    </w:p>
    <w:p w14:paraId="1715BE5A" w14:textId="23741F88" w:rsidR="00D432D9" w:rsidRDefault="00D67FDA">
      <w:pPr>
        <w:pStyle w:val="Zoznamsodrkami"/>
        <w:spacing w:after="40"/>
        <w:ind w:left="317" w:hanging="259"/>
      </w:pPr>
      <w:r>
        <w:t>Slovak Toxicological Society</w:t>
      </w:r>
    </w:p>
    <w:p w14:paraId="38EA5928" w14:textId="116B2894" w:rsidR="00765052" w:rsidRDefault="00765052" w:rsidP="00765052">
      <w:pPr>
        <w:pStyle w:val="Zoznamsodrkami"/>
        <w:numPr>
          <w:ilvl w:val="0"/>
          <w:numId w:val="0"/>
        </w:numPr>
        <w:spacing w:after="40"/>
        <w:ind w:left="360" w:hanging="360"/>
      </w:pPr>
    </w:p>
    <w:p w14:paraId="57006F76" w14:textId="46C0D676" w:rsidR="00765052" w:rsidRDefault="00765052" w:rsidP="00765052">
      <w:pPr>
        <w:pStyle w:val="Zoznamsodrkami"/>
        <w:numPr>
          <w:ilvl w:val="0"/>
          <w:numId w:val="0"/>
        </w:numPr>
        <w:spacing w:after="40"/>
        <w:ind w:left="360" w:hanging="360"/>
      </w:pPr>
    </w:p>
    <w:p w14:paraId="6EF0497A" w14:textId="68AAA1D2" w:rsidR="00765052" w:rsidRDefault="00765052" w:rsidP="00765052">
      <w:pPr>
        <w:pStyle w:val="Zoznamsodrkami"/>
        <w:numPr>
          <w:ilvl w:val="0"/>
          <w:numId w:val="0"/>
        </w:numPr>
        <w:spacing w:after="40"/>
        <w:ind w:left="360" w:hanging="360"/>
      </w:pPr>
      <w:r>
        <w:t>Bratislava March 3, 2026</w:t>
      </w:r>
    </w:p>
    <w:sectPr w:rsidR="00765052" w:rsidSect="00034616">
      <w:footerReference w:type="default" r:id="rId8"/>
      <w:pgSz w:w="12240" w:h="15840"/>
      <w:pgMar w:top="864"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A8F076" w14:textId="77777777" w:rsidR="00277556" w:rsidRDefault="00277556">
      <w:pPr>
        <w:spacing w:after="0" w:line="240" w:lineRule="auto"/>
      </w:pPr>
      <w:r>
        <w:separator/>
      </w:r>
    </w:p>
  </w:endnote>
  <w:endnote w:type="continuationSeparator" w:id="0">
    <w:p w14:paraId="6532E138" w14:textId="77777777" w:rsidR="00277556" w:rsidRDefault="00277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57F81" w14:textId="77777777" w:rsidR="00D432D9" w:rsidRDefault="00D67FDA">
    <w:pPr>
      <w:pStyle w:val="Pta"/>
      <w:jc w:val="center"/>
    </w:pPr>
    <w:r>
      <w:rPr>
        <w:color w:val="595959"/>
        <w:sz w:val="16"/>
      </w:rPr>
      <w:t>Bratislava, 3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2B2AFB" w14:textId="77777777" w:rsidR="00277556" w:rsidRDefault="00277556">
      <w:pPr>
        <w:spacing w:after="0" w:line="240" w:lineRule="auto"/>
      </w:pPr>
      <w:r>
        <w:separator/>
      </w:r>
    </w:p>
  </w:footnote>
  <w:footnote w:type="continuationSeparator" w:id="0">
    <w:p w14:paraId="5A265381" w14:textId="77777777" w:rsidR="00277556" w:rsidRDefault="002775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num w:numId="1" w16cid:durableId="1952544768">
    <w:abstractNumId w:val="8"/>
  </w:num>
  <w:num w:numId="2" w16cid:durableId="105393470">
    <w:abstractNumId w:val="6"/>
  </w:num>
  <w:num w:numId="3" w16cid:durableId="1017392196">
    <w:abstractNumId w:val="5"/>
  </w:num>
  <w:num w:numId="4" w16cid:durableId="647250020">
    <w:abstractNumId w:val="4"/>
  </w:num>
  <w:num w:numId="5" w16cid:durableId="1275093169">
    <w:abstractNumId w:val="7"/>
  </w:num>
  <w:num w:numId="6" w16cid:durableId="957489771">
    <w:abstractNumId w:val="3"/>
  </w:num>
  <w:num w:numId="7" w16cid:durableId="1221016816">
    <w:abstractNumId w:val="2"/>
  </w:num>
  <w:num w:numId="8" w16cid:durableId="1492798040">
    <w:abstractNumId w:val="1"/>
  </w:num>
  <w:num w:numId="9" w16cid:durableId="75172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77556"/>
    <w:rsid w:val="0029639D"/>
    <w:rsid w:val="003027BD"/>
    <w:rsid w:val="00326F90"/>
    <w:rsid w:val="00694F23"/>
    <w:rsid w:val="006E6B68"/>
    <w:rsid w:val="00765052"/>
    <w:rsid w:val="00865CBA"/>
    <w:rsid w:val="00AA1D8D"/>
    <w:rsid w:val="00B47730"/>
    <w:rsid w:val="00CB0664"/>
    <w:rsid w:val="00D432D9"/>
    <w:rsid w:val="00D67FD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7C59A2"/>
  <w14:defaultImageDpi w14:val="300"/>
  <w15:docId w15:val="{8B3A5DE8-C300-4F1F-BA1E-B9F5F13EE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pPr>
      <w:spacing w:after="60" w:line="252" w:lineRule="auto"/>
    </w:pPr>
    <w:rPr>
      <w:rFonts w:ascii="Calibri" w:eastAsia="Calibri" w:hAnsi="Calibri"/>
      <w:sz w:val="18"/>
    </w:rPr>
  </w:style>
  <w:style w:type="paragraph" w:styleId="Nadpis1">
    <w:name w:val="heading 1"/>
    <w:basedOn w:val="Normlny"/>
    <w:next w:val="Normlny"/>
    <w:link w:val="Nadpis1Char"/>
    <w:uiPriority w:val="9"/>
    <w:qFormat/>
    <w:rsid w:val="00FC693F"/>
    <w:pPr>
      <w:keepNext/>
      <w:keepLines/>
      <w:spacing w:before="160" w:after="80"/>
      <w:outlineLvl w:val="0"/>
    </w:pPr>
    <w:rPr>
      <w:rFonts w:asciiTheme="majorHAnsi" w:eastAsiaTheme="majorEastAsia" w:hAnsiTheme="majorHAnsi" w:cstheme="majorBidi"/>
      <w:b/>
      <w:bCs/>
      <w:color w:val="365F91" w:themeColor="accent1" w:themeShade="BF"/>
      <w:sz w:val="21"/>
      <w:szCs w:val="28"/>
    </w:rPr>
  </w:style>
  <w:style w:type="paragraph" w:styleId="Nadpis2">
    <w:name w:val="heading 2"/>
    <w:basedOn w:val="Normlny"/>
    <w:next w:val="Normlny"/>
    <w:link w:val="Nadpis2Char"/>
    <w:uiPriority w:val="9"/>
    <w:unhideWhenUsed/>
    <w:qFormat/>
    <w:rsid w:val="00FC693F"/>
    <w:pPr>
      <w:keepNext/>
      <w:keepLines/>
      <w:spacing w:before="80" w:after="40"/>
      <w:outlineLvl w:val="1"/>
    </w:pPr>
    <w:rPr>
      <w:rFonts w:asciiTheme="majorHAnsi" w:eastAsiaTheme="majorEastAsia" w:hAnsiTheme="majorHAnsi" w:cstheme="majorBidi"/>
      <w:b/>
      <w:bCs/>
      <w:color w:val="1F4E79"/>
      <w:sz w:val="19"/>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911</Words>
  <Characters>5194</Characters>
  <Application>Microsoft Office Word</Application>
  <DocSecurity>0</DocSecurity>
  <Lines>43</Lines>
  <Paragraphs>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6093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Iveta Bernatova</cp:lastModifiedBy>
  <cp:revision>2</cp:revision>
  <dcterms:created xsi:type="dcterms:W3CDTF">2026-07-03T09:10:00Z</dcterms:created>
  <dcterms:modified xsi:type="dcterms:W3CDTF">2026-07-03T09:10:00Z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29f220a5-d13a-4a92-a16a-02009c2606f2</vt:lpwstr>
  </property>
</Properties>
</file>